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GREMMATIK.icf</w:t>
      </w:r>
    </w:p>
    <w:p>
      <w:pPr>
        <w:pStyle w:val="Heading1"/>
      </w:pPr>
      <w:r>
        <w:t>1. Kontext hält Handlung</w:t>
      </w:r>
    </w:p>
    <w:p>
      <w:r>
        <w:t>ICF startet wieder bei 1, weil GREMMATIK Teilhabe nicht als Randthema versteht. Körperfunktion, Aktivität, Umwelt, Person und Ziel gehören zusammen. Genau diese Verbindung macht die ICF zur Brücke zwischen App-Map und Buchseite: Was sichtbar wird, soll nicht nur Wissen sein, sondern eine nachvollziehbare Spur vom Befund zur Beteiligung.</w:t>
      </w:r>
    </w:p>
    <w:p>
      <w:r>
        <w:t>Änderungsspur: Stand 27.06.2026 15:24. Reset auf Kapitel 1 und Wachstumsregel aktiviert.</w:t>
      </w:r>
    </w:p>
    <w:p>
      <w:pPr>
        <w:pStyle w:val="Heading1"/>
      </w:pPr>
      <w:r>
        <w:t>2. Umweltfaktor Website</w:t>
      </w:r>
    </w:p>
    <w:p>
      <w:r>
        <w:t>ICF liest diesen Schritt als Anpassung eines Umweltfaktors. Die Website wird zur Umgebung, in der Teilhabe an GREMMATIK möglich oder erschwert wird. Klare Social-Zugänge, ein ruhiger Artwork-Bereich und getrennte Bildspur verbessern Zugang, Orientierung und Kommunikation. Die Korrektur fragt nicht nur: Sieht es gut aus? Sondern: Ermöglicht diese Umgebung Beteiligung, Rückmeldung und Anschluss an eigene Projekte?</w:t>
      </w:r>
    </w:p>
    <w:p>
      <w:r>
        <w:t>Änderungsspur: Stand 27.06.2026 15:34. Thematische Übersetzung des aktuellen Website-/Systemschritts in das Buchthema.</w:t>
      </w:r>
    </w:p>
    <w:p>
      <w:pPr>
        <w:pStyle w:val="Heading1"/>
      </w:pPr>
      <w:r>
        <w:t>3. Zugänglichkeit durch mitlaufende Orientierung</w:t>
      </w:r>
    </w:p>
    <w:p>
      <w:r>
        <w:t>ICF übersetzt den schrumpfenden Header als Umweltanpassung. Die Orientierung bleibt erreichbar, nimmt aber weniger Raum ein. Das verbessert Zugang und Teilhabe, weil Navigation nicht verschwindet und gleichzeitig die Lesefläche größer wird. Die scrollabhängigen Panels können Beteiligung unterstützen, wenn sie Rückmeldung geben, ohne Barriere zu werden. Darum bleibt die Bewegung bewusst subtil.</w:t>
      </w:r>
    </w:p>
    <w:p>
      <w:r>
        <w:t>Änderungsspur: Stand 27.06.2026 15:43. Thematische Übersetzung des aktuellen Logo-/Scrollschritts in das Buchthema.</w:t>
      </w:r>
    </w:p>
    <w:p>
      <w:pPr>
        <w:pStyle w:val="Heading1"/>
      </w:pPr>
      <w:r>
        <w:t>4. Barrierearme Prägnanz</w:t>
      </w:r>
    </w:p>
    <w:p>
      <w:r>
        <w:t>Für ICF ist der Highlevel-Schliff eine Frage der Teilhabe. Wenn Texte über Rahmen laufen oder mehrere Überschriften dieselbe Funktion beanspruchen, wird Zugang schwieriger. `GREMMATIK.kategorie` als alleiniger Kopf, bessere Umbrüche und scharfe Medienflächen verbessern die Umwelt. Der Nutzer muss weniger reparieren und kann schneller beteiligt lesen, schauen, klicken und weitergehen.</w:t>
      </w:r>
    </w:p>
    <w:p>
      <w:r>
        <w:t>Änderungsspur: Stand 27.06.2026 15:50. Thematische Übersetzung des Highlevel-UI-Schliffs in das Buchthema.</w:t>
      </w:r>
    </w:p>
    <w:p>
      <w:pPr>
        <w:pStyle w:val="Heading1"/>
      </w:pPr>
      <w:r>
        <w:t>5. Umweltfaktoren vereinheitlichen</w:t>
      </w:r>
    </w:p>
    <w:p>
      <w:r>
        <w:t>Für ICF ist die radikale Quadratlogik eine Umweltanpassung. Eine gleichmäßige Kartenform unterstützt Orientierung, Navigation und Lesbarkeit. Wenn keine Höhen hüpfen, sinkt die Barriere des Interfaces. Bildspur mit Bild und Hashtag verbessert den Zugang, weil Bedeutung schneller erfassbar wird. Die Website wird so als Umweltfaktor verständlicher und handhabbarer für verschiedene Nutzerlagen.</w:t>
      </w:r>
    </w:p>
    <w:p>
      <w:r>
        <w:t>Änderungsspur: Stand 27.06.2026 15:54. Thematische Übersetzung der Quadratregel in das Buchthema.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